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9F9" w:rsidRDefault="006469F9" w:rsidP="006469F9">
      <w:pPr>
        <w:shd w:val="clear" w:color="auto" w:fill="FFFFFF"/>
        <w:spacing w:line="525" w:lineRule="atLeast"/>
        <w:jc w:val="center"/>
        <w:textAlignment w:val="baseline"/>
        <w:outlineLvl w:val="0"/>
        <w:rPr>
          <w:rFonts w:ascii="Arial" w:eastAsia="Times New Roman" w:hAnsi="Arial" w:cs="Arial"/>
          <w:b/>
          <w:bCs/>
          <w:color w:val="54595F"/>
          <w:kern w:val="36"/>
          <w:sz w:val="38"/>
          <w:szCs w:val="38"/>
          <w:lang w:eastAsia="de-DE"/>
        </w:rPr>
      </w:pPr>
      <w:r>
        <w:rPr>
          <w:noProof/>
          <w:lang w:eastAsia="de-DE"/>
        </w:rPr>
        <w:drawing>
          <wp:inline distT="0" distB="0" distL="0" distR="0" wp14:anchorId="6CC1276C" wp14:editId="35EB934F">
            <wp:extent cx="6278328" cy="1496322"/>
            <wp:effectExtent l="0" t="0" r="8255" b="8890"/>
            <wp:docPr id="1" name="Bild 2" descr="https://www.pfarreiengemeinschaft-konz.de/wp-content/uploads/2020/02/EXCEL_4TGtn26T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farreiengemeinschaft-konz.de/wp-content/uploads/2020/02/EXCEL_4TGtn26TZR.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3566" cy="1499954"/>
                    </a:xfrm>
                    <a:prstGeom prst="rect">
                      <a:avLst/>
                    </a:prstGeom>
                    <a:noFill/>
                    <a:ln>
                      <a:noFill/>
                    </a:ln>
                  </pic:spPr>
                </pic:pic>
              </a:graphicData>
            </a:graphic>
          </wp:inline>
        </w:drawing>
      </w:r>
    </w:p>
    <w:p w:rsidR="006469F9" w:rsidRPr="006469F9" w:rsidRDefault="006469F9" w:rsidP="006469F9">
      <w:pPr>
        <w:shd w:val="clear" w:color="auto" w:fill="FFFFFF"/>
        <w:spacing w:line="525" w:lineRule="atLeast"/>
        <w:jc w:val="center"/>
        <w:textAlignment w:val="baseline"/>
        <w:outlineLvl w:val="0"/>
        <w:rPr>
          <w:rFonts w:ascii="Arial" w:eastAsia="Times New Roman" w:hAnsi="Arial" w:cs="Arial"/>
          <w:b/>
          <w:bCs/>
          <w:color w:val="54595F"/>
          <w:kern w:val="36"/>
          <w:sz w:val="38"/>
          <w:szCs w:val="38"/>
          <w:lang w:eastAsia="de-DE"/>
        </w:rPr>
      </w:pPr>
      <w:r w:rsidRPr="006469F9">
        <w:rPr>
          <w:rFonts w:ascii="Arial" w:eastAsia="Times New Roman" w:hAnsi="Arial" w:cs="Arial"/>
          <w:b/>
          <w:bCs/>
          <w:color w:val="54595F"/>
          <w:kern w:val="36"/>
          <w:sz w:val="38"/>
          <w:szCs w:val="38"/>
          <w:lang w:eastAsia="de-DE"/>
        </w:rPr>
        <w:t xml:space="preserve">Geschichtliches zur </w:t>
      </w:r>
      <w:proofErr w:type="spellStart"/>
      <w:r w:rsidRPr="006469F9">
        <w:rPr>
          <w:rFonts w:ascii="Arial" w:eastAsia="Times New Roman" w:hAnsi="Arial" w:cs="Arial"/>
          <w:b/>
          <w:bCs/>
          <w:color w:val="54595F"/>
          <w:kern w:val="36"/>
          <w:sz w:val="38"/>
          <w:szCs w:val="38"/>
          <w:lang w:eastAsia="de-DE"/>
        </w:rPr>
        <w:t>Pfarreiengemeinschaft</w:t>
      </w:r>
      <w:proofErr w:type="spellEnd"/>
      <w:r w:rsidRPr="006469F9">
        <w:rPr>
          <w:rFonts w:ascii="Arial" w:eastAsia="Times New Roman" w:hAnsi="Arial" w:cs="Arial"/>
          <w:b/>
          <w:bCs/>
          <w:color w:val="54595F"/>
          <w:kern w:val="36"/>
          <w:sz w:val="38"/>
          <w:szCs w:val="38"/>
          <w:lang w:eastAsia="de-DE"/>
        </w:rPr>
        <w:br/>
        <w:t>Konz St. Nikolaus – Konz St. Johannes d. Täufer – Hamm Maria Heimsuchung</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von Rudolf </w:t>
      </w:r>
      <w:proofErr w:type="spellStart"/>
      <w:r w:rsidRPr="006469F9">
        <w:rPr>
          <w:rFonts w:ascii="inherit" w:eastAsia="Times New Roman" w:hAnsi="inherit" w:cs="Arial"/>
          <w:color w:val="54595F"/>
          <w:sz w:val="24"/>
          <w:szCs w:val="24"/>
          <w:lang w:eastAsia="de-DE"/>
        </w:rPr>
        <w:t>Molter</w:t>
      </w:r>
      <w:proofErr w:type="spellEnd"/>
      <w:r w:rsidRPr="006469F9">
        <w:rPr>
          <w:rFonts w:ascii="inherit" w:eastAsia="Times New Roman" w:hAnsi="inherit" w:cs="Arial"/>
          <w:color w:val="54595F"/>
          <w:sz w:val="24"/>
          <w:szCs w:val="24"/>
          <w:lang w:eastAsia="de-DE"/>
        </w:rPr>
        <w:t>, Konz</w:t>
      </w:r>
    </w:p>
    <w:p w:rsidR="006469F9" w:rsidRPr="006469F9" w:rsidRDefault="006469F9" w:rsidP="006469F9">
      <w:pPr>
        <w:shd w:val="clear" w:color="auto" w:fill="FFFFFF"/>
        <w:spacing w:after="300" w:line="240" w:lineRule="auto"/>
        <w:jc w:val="both"/>
        <w:textAlignment w:val="baseline"/>
        <w:outlineLvl w:val="1"/>
        <w:rPr>
          <w:rFonts w:ascii="inherit" w:eastAsia="Times New Roman" w:hAnsi="inherit" w:cs="Arial"/>
          <w:b/>
          <w:bCs/>
          <w:color w:val="333333"/>
          <w:sz w:val="30"/>
          <w:szCs w:val="30"/>
          <w:lang w:eastAsia="de-DE"/>
        </w:rPr>
      </w:pPr>
      <w:r w:rsidRPr="006469F9">
        <w:rPr>
          <w:rFonts w:ascii="inherit" w:eastAsia="Times New Roman" w:hAnsi="inherit" w:cs="Arial"/>
          <w:b/>
          <w:bCs/>
          <w:color w:val="333333"/>
          <w:sz w:val="30"/>
          <w:szCs w:val="30"/>
          <w:lang w:eastAsia="de-DE"/>
        </w:rPr>
        <w:t>3. Hamm – Maria Heimsuchung</w:t>
      </w:r>
    </w:p>
    <w:p w:rsidR="006469F9" w:rsidRPr="006469F9" w:rsidRDefault="006469F9" w:rsidP="006469F9">
      <w:pPr>
        <w:shd w:val="clear" w:color="auto" w:fill="FFFFFF"/>
        <w:spacing w:after="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b/>
          <w:bCs/>
          <w:color w:val="54595F"/>
          <w:sz w:val="24"/>
          <w:szCs w:val="24"/>
          <w:bdr w:val="none" w:sz="0" w:space="0" w:color="auto" w:frame="1"/>
          <w:lang w:eastAsia="de-DE"/>
        </w:rPr>
        <w:t>Geschichte</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Der Ort wird als </w:t>
      </w:r>
      <w:proofErr w:type="spellStart"/>
      <w:r w:rsidRPr="006469F9">
        <w:rPr>
          <w:rFonts w:ascii="inherit" w:eastAsia="Times New Roman" w:hAnsi="inherit" w:cs="Arial"/>
          <w:color w:val="54595F"/>
          <w:sz w:val="24"/>
          <w:szCs w:val="24"/>
          <w:lang w:eastAsia="de-DE"/>
        </w:rPr>
        <w:t>Ham</w:t>
      </w:r>
      <w:proofErr w:type="spellEnd"/>
      <w:r w:rsidRPr="006469F9">
        <w:rPr>
          <w:rFonts w:ascii="inherit" w:eastAsia="Times New Roman" w:hAnsi="inherit" w:cs="Arial"/>
          <w:color w:val="54595F"/>
          <w:sz w:val="24"/>
          <w:szCs w:val="24"/>
          <w:lang w:eastAsia="de-DE"/>
        </w:rPr>
        <w:t xml:space="preserve"> im Jahre 1277 erstmals urkundlich genannt; die „Taxa </w:t>
      </w:r>
      <w:proofErr w:type="spellStart"/>
      <w:r w:rsidRPr="006469F9">
        <w:rPr>
          <w:rFonts w:ascii="inherit" w:eastAsia="Times New Roman" w:hAnsi="inherit" w:cs="Arial"/>
          <w:color w:val="54595F"/>
          <w:sz w:val="24"/>
          <w:szCs w:val="24"/>
          <w:lang w:eastAsia="de-DE"/>
        </w:rPr>
        <w:t>generalis</w:t>
      </w:r>
      <w:proofErr w:type="spellEnd"/>
      <w:r w:rsidRPr="006469F9">
        <w:rPr>
          <w:rFonts w:ascii="inherit" w:eastAsia="Times New Roman" w:hAnsi="inherit" w:cs="Arial"/>
          <w:color w:val="54595F"/>
          <w:sz w:val="24"/>
          <w:szCs w:val="24"/>
          <w:lang w:eastAsia="de-DE"/>
        </w:rPr>
        <w:t xml:space="preserve">“ des Jahres 1330 erwähnt ihn als selbständige Pfarrei. Dabei dürfte zu dieser Zeit vermutlich der Pfarrsitz und das Zehnthaus im Bereich der Hammer Fähre gewesen sein. Patronatsherr von Hamm mit den Filialen Filzen und </w:t>
      </w:r>
      <w:proofErr w:type="spellStart"/>
      <w:r w:rsidRPr="006469F9">
        <w:rPr>
          <w:rFonts w:ascii="inherit" w:eastAsia="Times New Roman" w:hAnsi="inherit" w:cs="Arial"/>
          <w:color w:val="54595F"/>
          <w:sz w:val="24"/>
          <w:szCs w:val="24"/>
          <w:lang w:eastAsia="de-DE"/>
        </w:rPr>
        <w:t>Könen</w:t>
      </w:r>
      <w:proofErr w:type="spellEnd"/>
      <w:r w:rsidRPr="006469F9">
        <w:rPr>
          <w:rFonts w:ascii="inherit" w:eastAsia="Times New Roman" w:hAnsi="inherit" w:cs="Arial"/>
          <w:color w:val="54595F"/>
          <w:sz w:val="24"/>
          <w:szCs w:val="24"/>
          <w:lang w:eastAsia="de-DE"/>
        </w:rPr>
        <w:t xml:space="preserve"> war der Domdechant, wobei das Domkapitel die Grundgerichtsherrschaft des zum Amt Saarburg gehörenden Ortes ausübte. </w:t>
      </w:r>
      <w:proofErr w:type="spellStart"/>
      <w:r w:rsidRPr="006469F9">
        <w:rPr>
          <w:rFonts w:ascii="inherit" w:eastAsia="Times New Roman" w:hAnsi="inherit" w:cs="Arial"/>
          <w:color w:val="54595F"/>
          <w:sz w:val="24"/>
          <w:szCs w:val="24"/>
          <w:lang w:eastAsia="de-DE"/>
        </w:rPr>
        <w:t>Könen</w:t>
      </w:r>
      <w:proofErr w:type="spellEnd"/>
      <w:r w:rsidRPr="006469F9">
        <w:rPr>
          <w:rFonts w:ascii="inherit" w:eastAsia="Times New Roman" w:hAnsi="inherit" w:cs="Arial"/>
          <w:color w:val="54595F"/>
          <w:sz w:val="24"/>
          <w:szCs w:val="24"/>
          <w:lang w:eastAsia="de-DE"/>
        </w:rPr>
        <w:t xml:space="preserve"> erhielt erst 1798 „provisorisch“, dann 1826 definitiv den Pfarreistatus. Bis dahin hatte sich Pfarrer Anton </w:t>
      </w:r>
      <w:proofErr w:type="spellStart"/>
      <w:r w:rsidRPr="006469F9">
        <w:rPr>
          <w:rFonts w:ascii="inherit" w:eastAsia="Times New Roman" w:hAnsi="inherit" w:cs="Arial"/>
          <w:color w:val="54595F"/>
          <w:sz w:val="24"/>
          <w:szCs w:val="24"/>
          <w:lang w:eastAsia="de-DE"/>
        </w:rPr>
        <w:t>Bodson</w:t>
      </w:r>
      <w:proofErr w:type="spellEnd"/>
      <w:r w:rsidRPr="006469F9">
        <w:rPr>
          <w:rFonts w:ascii="inherit" w:eastAsia="Times New Roman" w:hAnsi="inherit" w:cs="Arial"/>
          <w:color w:val="54595F"/>
          <w:sz w:val="24"/>
          <w:szCs w:val="24"/>
          <w:lang w:eastAsia="de-DE"/>
        </w:rPr>
        <w:t xml:space="preserve"> von Hamm großzügig erwiesen, indem er nicht nur den sonntäglichen Gottesdienst abwechselnd in Hamm und </w:t>
      </w:r>
      <w:proofErr w:type="spellStart"/>
      <w:r w:rsidRPr="006469F9">
        <w:rPr>
          <w:rFonts w:ascii="inherit" w:eastAsia="Times New Roman" w:hAnsi="inherit" w:cs="Arial"/>
          <w:color w:val="54595F"/>
          <w:sz w:val="24"/>
          <w:szCs w:val="24"/>
          <w:lang w:eastAsia="de-DE"/>
        </w:rPr>
        <w:t>Cönen</w:t>
      </w:r>
      <w:proofErr w:type="spellEnd"/>
      <w:r w:rsidRPr="006469F9">
        <w:rPr>
          <w:rFonts w:ascii="inherit" w:eastAsia="Times New Roman" w:hAnsi="inherit" w:cs="Arial"/>
          <w:color w:val="54595F"/>
          <w:sz w:val="24"/>
          <w:szCs w:val="24"/>
          <w:lang w:eastAsia="de-DE"/>
        </w:rPr>
        <w:t xml:space="preserve"> hielt, sondern auch das herrschaftliche, so genannte „große Haus“ in </w:t>
      </w:r>
      <w:proofErr w:type="spellStart"/>
      <w:r w:rsidRPr="006469F9">
        <w:rPr>
          <w:rFonts w:ascii="inherit" w:eastAsia="Times New Roman" w:hAnsi="inherit" w:cs="Arial"/>
          <w:color w:val="54595F"/>
          <w:sz w:val="24"/>
          <w:szCs w:val="24"/>
          <w:lang w:eastAsia="de-DE"/>
        </w:rPr>
        <w:t>Könen</w:t>
      </w:r>
      <w:proofErr w:type="spellEnd"/>
      <w:r w:rsidRPr="006469F9">
        <w:rPr>
          <w:rFonts w:ascii="inherit" w:eastAsia="Times New Roman" w:hAnsi="inherit" w:cs="Arial"/>
          <w:color w:val="54595F"/>
          <w:sz w:val="24"/>
          <w:szCs w:val="24"/>
          <w:lang w:eastAsia="de-DE"/>
        </w:rPr>
        <w:t xml:space="preserve"> gegenüber der Kirche erbaute und auch hier und nicht mehr im vergleichsweise bescheidenen Pfarrhaus in Hamm residierte.</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In Filzen besaß 1168 die Abtei St. Martin zu Trier ein Erbe. Das zu Anfang des 13. Jh. angelegte Güterverzeichnis der Trierer Abtei St. </w:t>
      </w:r>
      <w:proofErr w:type="spellStart"/>
      <w:r w:rsidRPr="006469F9">
        <w:rPr>
          <w:rFonts w:ascii="inherit" w:eastAsia="Times New Roman" w:hAnsi="inherit" w:cs="Arial"/>
          <w:color w:val="54595F"/>
          <w:sz w:val="24"/>
          <w:szCs w:val="24"/>
          <w:lang w:eastAsia="de-DE"/>
        </w:rPr>
        <w:t>Maximin</w:t>
      </w:r>
      <w:proofErr w:type="spellEnd"/>
      <w:r w:rsidRPr="006469F9">
        <w:rPr>
          <w:rFonts w:ascii="inherit" w:eastAsia="Times New Roman" w:hAnsi="inherit" w:cs="Arial"/>
          <w:color w:val="54595F"/>
          <w:sz w:val="24"/>
          <w:szCs w:val="24"/>
          <w:lang w:eastAsia="de-DE"/>
        </w:rPr>
        <w:t xml:space="preserve"> berichtet von einem eigenen Weingut in </w:t>
      </w:r>
      <w:proofErr w:type="spellStart"/>
      <w:r w:rsidRPr="006469F9">
        <w:rPr>
          <w:rFonts w:ascii="inherit" w:eastAsia="Times New Roman" w:hAnsi="inherit" w:cs="Arial"/>
          <w:color w:val="54595F"/>
          <w:sz w:val="24"/>
          <w:szCs w:val="24"/>
          <w:lang w:eastAsia="de-DE"/>
        </w:rPr>
        <w:t>Vilzine</w:t>
      </w:r>
      <w:proofErr w:type="spellEnd"/>
      <w:r w:rsidRPr="006469F9">
        <w:rPr>
          <w:rFonts w:ascii="inherit" w:eastAsia="Times New Roman" w:hAnsi="inherit" w:cs="Arial"/>
          <w:color w:val="54595F"/>
          <w:sz w:val="24"/>
          <w:szCs w:val="24"/>
          <w:lang w:eastAsia="de-DE"/>
        </w:rPr>
        <w:t>. Eine Filialkapelle in Filzen musste 1852 auf Grund des Bauzustandes geschlossen werden, worauf die heutige St. Nikolaus-Kapelle neu erbaut wurde.</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Den baulich dominierenden Akzent des Ortes Hamm bildet das Ensemble von Pfarrkirche St. Marien und Luzia mit dem umgebenden Kirchhof, dem intensiv gestalteten Kirchplatz sowie dem ehemaligen Pfarrhaus (1720), heute als Jugend-Freizeiteinrichtung genutzt.</w:t>
      </w:r>
    </w:p>
    <w:p w:rsidR="006469F9" w:rsidRPr="006469F9" w:rsidRDefault="006469F9" w:rsidP="006469F9">
      <w:pPr>
        <w:shd w:val="clear" w:color="auto" w:fill="FFFFFF"/>
        <w:spacing w:after="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b/>
          <w:bCs/>
          <w:color w:val="54595F"/>
          <w:sz w:val="24"/>
          <w:szCs w:val="24"/>
          <w:bdr w:val="none" w:sz="0" w:space="0" w:color="auto" w:frame="1"/>
          <w:lang w:eastAsia="de-DE"/>
        </w:rPr>
        <w:t>Die Pfarrkirche</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Ältester Teil der Kirche ist der spätromanische, dreigeschossige Westturm, von der Vorgänger-Kirche stammend. Dieser </w:t>
      </w:r>
      <w:proofErr w:type="spellStart"/>
      <w:r w:rsidRPr="006469F9">
        <w:rPr>
          <w:rFonts w:ascii="inherit" w:eastAsia="Times New Roman" w:hAnsi="inherit" w:cs="Arial"/>
          <w:color w:val="54595F"/>
          <w:sz w:val="24"/>
          <w:szCs w:val="24"/>
          <w:lang w:eastAsia="de-DE"/>
        </w:rPr>
        <w:t>Kirchbau</w:t>
      </w:r>
      <w:proofErr w:type="spellEnd"/>
      <w:r w:rsidRPr="006469F9">
        <w:rPr>
          <w:rFonts w:ascii="inherit" w:eastAsia="Times New Roman" w:hAnsi="inherit" w:cs="Arial"/>
          <w:color w:val="54595F"/>
          <w:sz w:val="24"/>
          <w:szCs w:val="24"/>
          <w:lang w:eastAsia="de-DE"/>
        </w:rPr>
        <w:t xml:space="preserve"> wird bereits 1584 in einem Visitationsbericht als baufällig beschrieben; im Jahre 1659 wird die Kirche als in wieder gutem Zustand beschrieben. Der </w:t>
      </w:r>
      <w:proofErr w:type="spellStart"/>
      <w:r w:rsidRPr="006469F9">
        <w:rPr>
          <w:rFonts w:ascii="inherit" w:eastAsia="Times New Roman" w:hAnsi="inherit" w:cs="Arial"/>
          <w:color w:val="54595F"/>
          <w:sz w:val="24"/>
          <w:szCs w:val="24"/>
          <w:lang w:eastAsia="de-DE"/>
        </w:rPr>
        <w:t>Visitator</w:t>
      </w:r>
      <w:proofErr w:type="spellEnd"/>
      <w:r w:rsidRPr="006469F9">
        <w:rPr>
          <w:rFonts w:ascii="inherit" w:eastAsia="Times New Roman" w:hAnsi="inherit" w:cs="Arial"/>
          <w:color w:val="54595F"/>
          <w:sz w:val="24"/>
          <w:szCs w:val="24"/>
          <w:lang w:eastAsia="de-DE"/>
        </w:rPr>
        <w:t xml:space="preserve"> des Jahres 1739 berichtet allerdings, sie sei inzwischen so eng, dass der Chor kaum 5 Personen zum Priester und das Schiff nicht einmal ein Drittel der 200 zum Kirchenbesuch verpflichteten Pfarrangehörigen (Kommunikanten) aufnehmen könne.</w:t>
      </w:r>
    </w:p>
    <w:p w:rsidR="006469F9" w:rsidRPr="006469F9" w:rsidRDefault="006469F9" w:rsidP="006469F9">
      <w:pPr>
        <w:shd w:val="clear" w:color="auto" w:fill="FFFFFF"/>
        <w:spacing w:after="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b/>
          <w:bCs/>
          <w:color w:val="54595F"/>
          <w:sz w:val="24"/>
          <w:szCs w:val="24"/>
          <w:bdr w:val="none" w:sz="0" w:space="0" w:color="auto" w:frame="1"/>
          <w:lang w:eastAsia="de-DE"/>
        </w:rPr>
        <w:t>Bauliche Strukturen</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lastRenderedPageBreak/>
        <w:t>Der Turm zeigt an den Ecken eine unregelmäßige Sandstein-</w:t>
      </w:r>
      <w:proofErr w:type="spellStart"/>
      <w:r w:rsidRPr="006469F9">
        <w:rPr>
          <w:rFonts w:ascii="inherit" w:eastAsia="Times New Roman" w:hAnsi="inherit" w:cs="Arial"/>
          <w:color w:val="54595F"/>
          <w:sz w:val="24"/>
          <w:szCs w:val="24"/>
          <w:lang w:eastAsia="de-DE"/>
        </w:rPr>
        <w:t>Quaderung</w:t>
      </w:r>
      <w:proofErr w:type="spellEnd"/>
      <w:r w:rsidRPr="006469F9">
        <w:rPr>
          <w:rFonts w:ascii="inherit" w:eastAsia="Times New Roman" w:hAnsi="inherit" w:cs="Arial"/>
          <w:color w:val="54595F"/>
          <w:sz w:val="24"/>
          <w:szCs w:val="24"/>
          <w:lang w:eastAsia="de-DE"/>
        </w:rPr>
        <w:t xml:space="preserve"> und im Glockengeschoss gekuppelte, rundbogige Schallöffnungen. An Stelle eines 1846 vom Sturm abgeworfenen, ursprünglich in Schiefer gedeckten Turmhelmes erhielt er den unge</w:t>
      </w:r>
      <w:r w:rsidRPr="006469F9">
        <w:rPr>
          <w:rFonts w:ascii="inherit" w:eastAsia="Times New Roman" w:hAnsi="inherit" w:cs="Arial"/>
          <w:color w:val="54595F"/>
          <w:sz w:val="24"/>
          <w:szCs w:val="24"/>
          <w:lang w:eastAsia="de-DE"/>
        </w:rPr>
        <w:softHyphen/>
        <w:t>wöhn</w:t>
      </w:r>
      <w:r w:rsidRPr="006469F9">
        <w:rPr>
          <w:rFonts w:ascii="inherit" w:eastAsia="Times New Roman" w:hAnsi="inherit" w:cs="Arial"/>
          <w:color w:val="54595F"/>
          <w:sz w:val="24"/>
          <w:szCs w:val="24"/>
          <w:lang w:eastAsia="de-DE"/>
        </w:rPr>
        <w:softHyphen/>
        <w:t>li</w:t>
      </w:r>
      <w:r w:rsidRPr="006469F9">
        <w:rPr>
          <w:rFonts w:ascii="inherit" w:eastAsia="Times New Roman" w:hAnsi="inherit" w:cs="Arial"/>
          <w:color w:val="54595F"/>
          <w:sz w:val="24"/>
          <w:szCs w:val="24"/>
          <w:lang w:eastAsia="de-DE"/>
        </w:rPr>
        <w:softHyphen/>
        <w:t xml:space="preserve">chen, massiven Pyramiden-Abschluss in grau-gelben Sandsteinquadern. Das Westportal (Erneuert Mitte 19. Jh.) führt durch den Turm mit seinem spitzbogig tonnengewölbten Untergeschoss zum Kirchenschiff. Es wurde 1745 als zweiachsiges Langhaus an den Turm angebaut, mit schlichten rund geschlossenen Fenstern, </w:t>
      </w:r>
      <w:proofErr w:type="spellStart"/>
      <w:r w:rsidRPr="006469F9">
        <w:rPr>
          <w:rFonts w:ascii="inherit" w:eastAsia="Times New Roman" w:hAnsi="inherit" w:cs="Arial"/>
          <w:color w:val="54595F"/>
          <w:sz w:val="24"/>
          <w:szCs w:val="24"/>
          <w:lang w:eastAsia="de-DE"/>
        </w:rPr>
        <w:t>Voutendecke</w:t>
      </w:r>
      <w:proofErr w:type="spellEnd"/>
      <w:r w:rsidRPr="006469F9">
        <w:rPr>
          <w:rFonts w:ascii="inherit" w:eastAsia="Times New Roman" w:hAnsi="inherit" w:cs="Arial"/>
          <w:color w:val="54595F"/>
          <w:sz w:val="24"/>
          <w:szCs w:val="24"/>
          <w:lang w:eastAsia="de-DE"/>
        </w:rPr>
        <w:t>, rundbogigen Chorbogen und dreiseitig schließendem, rippenlosem kreuzgratgewölbtem Chor. Seit dieser Zeit ist das Patrozinium St. Luzia durch das Marien-Patrozinium abgelöst.</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Der Tabernakel-Hochaltar zeigt eine reiche Rokokodekoration mit geschnitztem Antependium, die beiden Seitenaltäre in barocken Formen und ähnlichen Antependien. An der </w:t>
      </w:r>
      <w:proofErr w:type="spellStart"/>
      <w:r w:rsidRPr="006469F9">
        <w:rPr>
          <w:rFonts w:ascii="inherit" w:eastAsia="Times New Roman" w:hAnsi="inherit" w:cs="Arial"/>
          <w:color w:val="54595F"/>
          <w:sz w:val="24"/>
          <w:szCs w:val="24"/>
          <w:lang w:eastAsia="de-DE"/>
        </w:rPr>
        <w:t>Chorwand</w:t>
      </w:r>
      <w:proofErr w:type="spellEnd"/>
      <w:r w:rsidRPr="006469F9">
        <w:rPr>
          <w:rFonts w:ascii="inherit" w:eastAsia="Times New Roman" w:hAnsi="inherit" w:cs="Arial"/>
          <w:color w:val="54595F"/>
          <w:sz w:val="24"/>
          <w:szCs w:val="24"/>
          <w:lang w:eastAsia="de-DE"/>
        </w:rPr>
        <w:t>, mit Resten der Ausmalung von 1881, zwei Reliquien-Halbfiguren der Bischöfe Hubertus und Amandus, im Kirchraum außerdem eine barocke Figur der Heiligen Luzia. Der im Chorraum freistehende Zelebrationsaltar des Jahres 1971 stammt von den Kunstwerkstätten Maria-</w:t>
      </w:r>
      <w:proofErr w:type="spellStart"/>
      <w:r w:rsidRPr="006469F9">
        <w:rPr>
          <w:rFonts w:ascii="inherit" w:eastAsia="Times New Roman" w:hAnsi="inherit" w:cs="Arial"/>
          <w:color w:val="54595F"/>
          <w:sz w:val="24"/>
          <w:szCs w:val="24"/>
          <w:lang w:eastAsia="de-DE"/>
        </w:rPr>
        <w:t>Laach</w:t>
      </w:r>
      <w:proofErr w:type="spellEnd"/>
      <w:r w:rsidRPr="006469F9">
        <w:rPr>
          <w:rFonts w:ascii="inherit" w:eastAsia="Times New Roman" w:hAnsi="inherit" w:cs="Arial"/>
          <w:color w:val="54595F"/>
          <w:sz w:val="24"/>
          <w:szCs w:val="24"/>
          <w:lang w:eastAsia="de-DE"/>
        </w:rPr>
        <w:t>.</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 xml:space="preserve">An der alten, an das ehemalige Pfarrhaus anschließenden Kirchhofsmauer, ein aufwendig gestaltetes Sandstein-Grabkreuz (1748); im Friedhofsbereich ein Altarkreuz des 19. Jh. Im Bereich des Kirchenportals das im klassizistischen Stil gestaltete Grabkreuz für den 1831 verstorbenen Pastor </w:t>
      </w:r>
      <w:proofErr w:type="spellStart"/>
      <w:r w:rsidRPr="006469F9">
        <w:rPr>
          <w:rFonts w:ascii="inherit" w:eastAsia="Times New Roman" w:hAnsi="inherit" w:cs="Arial"/>
          <w:color w:val="54595F"/>
          <w:sz w:val="24"/>
          <w:szCs w:val="24"/>
          <w:lang w:eastAsia="de-DE"/>
        </w:rPr>
        <w:t>Schanus</w:t>
      </w:r>
      <w:proofErr w:type="spellEnd"/>
      <w:r w:rsidRPr="006469F9">
        <w:rPr>
          <w:rFonts w:ascii="inherit" w:eastAsia="Times New Roman" w:hAnsi="inherit" w:cs="Arial"/>
          <w:color w:val="54595F"/>
          <w:sz w:val="24"/>
          <w:szCs w:val="24"/>
          <w:lang w:eastAsia="de-DE"/>
        </w:rPr>
        <w:t xml:space="preserve"> aus </w:t>
      </w:r>
      <w:proofErr w:type="spellStart"/>
      <w:r w:rsidRPr="006469F9">
        <w:rPr>
          <w:rFonts w:ascii="inherit" w:eastAsia="Times New Roman" w:hAnsi="inherit" w:cs="Arial"/>
          <w:color w:val="54595F"/>
          <w:sz w:val="24"/>
          <w:szCs w:val="24"/>
          <w:lang w:eastAsia="de-DE"/>
        </w:rPr>
        <w:t>Langsur</w:t>
      </w:r>
      <w:proofErr w:type="spellEnd"/>
      <w:r w:rsidRPr="006469F9">
        <w:rPr>
          <w:rFonts w:ascii="inherit" w:eastAsia="Times New Roman" w:hAnsi="inherit" w:cs="Arial"/>
          <w:color w:val="54595F"/>
          <w:sz w:val="24"/>
          <w:szCs w:val="24"/>
          <w:lang w:eastAsia="de-DE"/>
        </w:rPr>
        <w:t>.</w:t>
      </w:r>
    </w:p>
    <w:p w:rsidR="006469F9" w:rsidRPr="006469F9" w:rsidRDefault="006469F9" w:rsidP="006469F9">
      <w:pPr>
        <w:shd w:val="clear" w:color="auto" w:fill="FFFFFF"/>
        <w:spacing w:after="300" w:line="240" w:lineRule="auto"/>
        <w:jc w:val="both"/>
        <w:textAlignment w:val="baseline"/>
        <w:rPr>
          <w:rFonts w:ascii="inherit" w:eastAsia="Times New Roman" w:hAnsi="inherit" w:cs="Arial"/>
          <w:color w:val="54595F"/>
          <w:sz w:val="24"/>
          <w:szCs w:val="24"/>
          <w:lang w:eastAsia="de-DE"/>
        </w:rPr>
      </w:pPr>
      <w:r w:rsidRPr="006469F9">
        <w:rPr>
          <w:rFonts w:ascii="inherit" w:eastAsia="Times New Roman" w:hAnsi="inherit" w:cs="Arial"/>
          <w:color w:val="54595F"/>
          <w:sz w:val="24"/>
          <w:szCs w:val="24"/>
          <w:lang w:eastAsia="de-DE"/>
        </w:rPr>
        <w:t>Durch die im Zuge des Saarausbaus erstellte, bastionsartige Ufermauer wird die historische Gebäudegruppe noch prägnanter herausgestellt. Sie erhielt zum Abschluss der Maßnahmen in der zur Seite gestellten, überlebensgroßen Bronzefigur des Heilige Nikolaus einen weiteren Akzent.</w:t>
      </w:r>
    </w:p>
    <w:p w:rsidR="005E6445" w:rsidRDefault="005E6445">
      <w:bookmarkStart w:id="0" w:name="_GoBack"/>
      <w:bookmarkEnd w:id="0"/>
    </w:p>
    <w:sectPr w:rsidR="005E644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9F9"/>
    <w:rsid w:val="005E6445"/>
    <w:rsid w:val="006219B5"/>
    <w:rsid w:val="006469F9"/>
    <w:rsid w:val="00AA1BA1"/>
    <w:rsid w:val="00AE11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469F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69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469F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69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644064">
      <w:bodyDiv w:val="1"/>
      <w:marLeft w:val="0"/>
      <w:marRight w:val="0"/>
      <w:marTop w:val="0"/>
      <w:marBottom w:val="0"/>
      <w:divBdr>
        <w:top w:val="none" w:sz="0" w:space="0" w:color="auto"/>
        <w:left w:val="none" w:sz="0" w:space="0" w:color="auto"/>
        <w:bottom w:val="none" w:sz="0" w:space="0" w:color="auto"/>
        <w:right w:val="none" w:sz="0" w:space="0" w:color="auto"/>
      </w:divBdr>
      <w:divsChild>
        <w:div w:id="1051803498">
          <w:marLeft w:val="0"/>
          <w:marRight w:val="0"/>
          <w:marTop w:val="0"/>
          <w:marBottom w:val="0"/>
          <w:divBdr>
            <w:top w:val="none" w:sz="0" w:space="0" w:color="auto"/>
            <w:left w:val="none" w:sz="0" w:space="0" w:color="auto"/>
            <w:bottom w:val="none" w:sz="0" w:space="0" w:color="auto"/>
            <w:right w:val="none" w:sz="0" w:space="0" w:color="auto"/>
          </w:divBdr>
          <w:divsChild>
            <w:div w:id="671685222">
              <w:marLeft w:val="0"/>
              <w:marRight w:val="0"/>
              <w:marTop w:val="0"/>
              <w:marBottom w:val="0"/>
              <w:divBdr>
                <w:top w:val="none" w:sz="0" w:space="0" w:color="auto"/>
                <w:left w:val="none" w:sz="0" w:space="0" w:color="auto"/>
                <w:bottom w:val="none" w:sz="0" w:space="0" w:color="auto"/>
                <w:right w:val="none" w:sz="0" w:space="0" w:color="auto"/>
              </w:divBdr>
              <w:divsChild>
                <w:div w:id="2048023062">
                  <w:marLeft w:val="225"/>
                  <w:marRight w:val="225"/>
                  <w:marTop w:val="0"/>
                  <w:marBottom w:val="0"/>
                  <w:divBdr>
                    <w:top w:val="none" w:sz="0" w:space="0" w:color="auto"/>
                    <w:left w:val="none" w:sz="0" w:space="0" w:color="auto"/>
                    <w:bottom w:val="none" w:sz="0" w:space="0" w:color="auto"/>
                    <w:right w:val="none" w:sz="0" w:space="0" w:color="auto"/>
                  </w:divBdr>
                  <w:divsChild>
                    <w:div w:id="1225602883">
                      <w:marLeft w:val="0"/>
                      <w:marRight w:val="0"/>
                      <w:marTop w:val="0"/>
                      <w:marBottom w:val="300"/>
                      <w:divBdr>
                        <w:top w:val="none" w:sz="0" w:space="0" w:color="auto"/>
                        <w:left w:val="none" w:sz="0" w:space="0" w:color="auto"/>
                        <w:bottom w:val="none" w:sz="0" w:space="0" w:color="auto"/>
                        <w:right w:val="none" w:sz="0" w:space="0" w:color="auto"/>
                      </w:divBdr>
                      <w:divsChild>
                        <w:div w:id="1662852136">
                          <w:marLeft w:val="0"/>
                          <w:marRight w:val="0"/>
                          <w:marTop w:val="150"/>
                          <w:marBottom w:val="0"/>
                          <w:divBdr>
                            <w:top w:val="none" w:sz="0" w:space="0" w:color="auto"/>
                            <w:left w:val="none" w:sz="0" w:space="0" w:color="auto"/>
                            <w:bottom w:val="none" w:sz="0" w:space="0" w:color="auto"/>
                            <w:right w:val="none" w:sz="0" w:space="0" w:color="auto"/>
                          </w:divBdr>
                        </w:div>
                      </w:divsChild>
                    </w:div>
                    <w:div w:id="4066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52045">
          <w:marLeft w:val="0"/>
          <w:marRight w:val="0"/>
          <w:marTop w:val="0"/>
          <w:marBottom w:val="0"/>
          <w:divBdr>
            <w:top w:val="none" w:sz="0" w:space="0" w:color="auto"/>
            <w:left w:val="none" w:sz="0" w:space="0" w:color="auto"/>
            <w:bottom w:val="none" w:sz="0" w:space="0" w:color="auto"/>
            <w:right w:val="none" w:sz="0" w:space="0" w:color="auto"/>
          </w:divBdr>
          <w:divsChild>
            <w:div w:id="2083409828">
              <w:marLeft w:val="0"/>
              <w:marRight w:val="0"/>
              <w:marTop w:val="0"/>
              <w:marBottom w:val="0"/>
              <w:divBdr>
                <w:top w:val="none" w:sz="0" w:space="0" w:color="auto"/>
                <w:left w:val="none" w:sz="0" w:space="0" w:color="auto"/>
                <w:bottom w:val="none" w:sz="0" w:space="0" w:color="auto"/>
                <w:right w:val="none" w:sz="0" w:space="0" w:color="auto"/>
              </w:divBdr>
              <w:divsChild>
                <w:div w:id="199246122">
                  <w:marLeft w:val="225"/>
                  <w:marRight w:val="225"/>
                  <w:marTop w:val="0"/>
                  <w:marBottom w:val="0"/>
                  <w:divBdr>
                    <w:top w:val="none" w:sz="0" w:space="0" w:color="auto"/>
                    <w:left w:val="none" w:sz="0" w:space="0" w:color="auto"/>
                    <w:bottom w:val="none" w:sz="0" w:space="0" w:color="auto"/>
                    <w:right w:val="none" w:sz="0" w:space="0" w:color="auto"/>
                  </w:divBdr>
                  <w:divsChild>
                    <w:div w:id="18748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205329">
          <w:marLeft w:val="0"/>
          <w:marRight w:val="0"/>
          <w:marTop w:val="0"/>
          <w:marBottom w:val="0"/>
          <w:divBdr>
            <w:top w:val="none" w:sz="0" w:space="0" w:color="auto"/>
            <w:left w:val="none" w:sz="0" w:space="0" w:color="auto"/>
            <w:bottom w:val="none" w:sz="0" w:space="0" w:color="auto"/>
            <w:right w:val="none" w:sz="0" w:space="0" w:color="auto"/>
          </w:divBdr>
          <w:divsChild>
            <w:div w:id="197623364">
              <w:marLeft w:val="0"/>
              <w:marRight w:val="0"/>
              <w:marTop w:val="0"/>
              <w:marBottom w:val="0"/>
              <w:divBdr>
                <w:top w:val="none" w:sz="0" w:space="0" w:color="auto"/>
                <w:left w:val="none" w:sz="0" w:space="0" w:color="auto"/>
                <w:bottom w:val="none" w:sz="0" w:space="0" w:color="auto"/>
                <w:right w:val="none" w:sz="0" w:space="0" w:color="auto"/>
              </w:divBdr>
              <w:divsChild>
                <w:div w:id="2088912921">
                  <w:marLeft w:val="225"/>
                  <w:marRight w:val="225"/>
                  <w:marTop w:val="0"/>
                  <w:marBottom w:val="0"/>
                  <w:divBdr>
                    <w:top w:val="none" w:sz="0" w:space="0" w:color="auto"/>
                    <w:left w:val="none" w:sz="0" w:space="0" w:color="auto"/>
                    <w:bottom w:val="none" w:sz="0" w:space="0" w:color="auto"/>
                    <w:right w:val="none" w:sz="0" w:space="0" w:color="auto"/>
                  </w:divBdr>
                  <w:divsChild>
                    <w:div w:id="14017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541</Words>
  <Characters>3413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2025-09-22T12:46:00Z</dcterms:created>
  <dcterms:modified xsi:type="dcterms:W3CDTF">2025-09-22T12:47:00Z</dcterms:modified>
</cp:coreProperties>
</file>